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宋体" w:eastAsia="仿宋_GB2312"/>
        </w:rPr>
      </w:pPr>
      <w:r>
        <w:rPr>
          <w:rFonts w:hint="eastAsia" w:ascii="仿宋_GB2312" w:hAnsi="宋体" w:eastAsia="仿宋_GB2312"/>
        </w:rPr>
        <w:t>附件：</w:t>
      </w:r>
    </w:p>
    <w:p>
      <w:pPr>
        <w:pStyle w:val="2"/>
        <w:tabs>
          <w:tab w:val="left" w:pos="0"/>
        </w:tabs>
        <w:spacing w:after="0" w:line="360" w:lineRule="auto"/>
        <w:ind w:left="37" w:leftChars="-67" w:hanging="178" w:hangingChars="59"/>
        <w:jc w:val="center"/>
        <w:rPr>
          <w:rFonts w:hint="eastAsia" w:ascii="宋体" w:hAnsi="宋体"/>
          <w:b/>
          <w:bCs/>
          <w:sz w:val="30"/>
          <w:szCs w:val="30"/>
        </w:rPr>
      </w:pPr>
      <w:r>
        <w:rPr>
          <w:rFonts w:hint="eastAsia" w:ascii="宋体" w:hAnsi="宋体"/>
          <w:b/>
          <w:bCs/>
          <w:sz w:val="30"/>
          <w:szCs w:val="30"/>
        </w:rPr>
        <w:t>2019年执业质量检查应提供资料清单</w:t>
      </w:r>
    </w:p>
    <w:tbl>
      <w:tblPr>
        <w:tblStyle w:val="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4224"/>
        <w:gridCol w:w="1559"/>
        <w:gridCol w:w="1187"/>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 w:eastAsia="仿宋_GB2312" w:cs="Arial"/>
                <w:b/>
                <w:bCs/>
                <w:color w:val="000000"/>
                <w:kern w:val="0"/>
                <w:sz w:val="24"/>
              </w:rPr>
            </w:pPr>
            <w:r>
              <w:rPr>
                <w:rFonts w:hint="eastAsia" w:ascii="仿宋_GB2312" w:hAnsi="仿宋" w:eastAsia="仿宋_GB2312" w:cs="Arial"/>
                <w:b/>
                <w:bCs/>
                <w:color w:val="000000"/>
                <w:kern w:val="0"/>
                <w:sz w:val="24"/>
              </w:rPr>
              <w:t>序号</w:t>
            </w:r>
          </w:p>
        </w:tc>
        <w:tc>
          <w:tcPr>
            <w:tcW w:w="42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 w:eastAsia="仿宋_GB2312" w:cs="Arial"/>
                <w:b/>
                <w:bCs/>
                <w:color w:val="000000"/>
                <w:kern w:val="0"/>
                <w:sz w:val="24"/>
              </w:rPr>
            </w:pPr>
            <w:r>
              <w:rPr>
                <w:rFonts w:hint="eastAsia" w:ascii="仿宋_GB2312" w:hAnsi="仿宋" w:eastAsia="仿宋_GB2312" w:cs="Arial"/>
                <w:b/>
                <w:bCs/>
                <w:color w:val="000000"/>
                <w:kern w:val="0"/>
                <w:sz w:val="24"/>
              </w:rPr>
              <w:t>目   录</w:t>
            </w:r>
          </w:p>
        </w:tc>
        <w:tc>
          <w:tcPr>
            <w:tcW w:w="274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Arial"/>
                <w:b/>
                <w:bCs/>
                <w:color w:val="000000"/>
                <w:kern w:val="0"/>
                <w:sz w:val="24"/>
              </w:rPr>
            </w:pPr>
            <w:r>
              <w:rPr>
                <w:rFonts w:hint="eastAsia" w:ascii="仿宋_GB2312" w:hAnsi="仿宋" w:eastAsia="仿宋_GB2312" w:cs="Arial"/>
                <w:b/>
                <w:bCs/>
                <w:color w:val="000000"/>
                <w:kern w:val="0"/>
                <w:sz w:val="24"/>
              </w:rPr>
              <w:t>提供情况</w:t>
            </w:r>
          </w:p>
        </w:tc>
        <w:tc>
          <w:tcPr>
            <w:tcW w:w="84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Arial"/>
                <w:b/>
                <w:bCs/>
                <w:color w:val="000000"/>
                <w:kern w:val="0"/>
                <w:sz w:val="24"/>
              </w:rPr>
            </w:pPr>
          </w:p>
        </w:tc>
        <w:tc>
          <w:tcPr>
            <w:tcW w:w="42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Arial"/>
                <w:b/>
                <w:bCs/>
                <w:color w:val="000000"/>
                <w:kern w:val="0"/>
                <w:sz w:val="24"/>
              </w:rPr>
            </w:pPr>
          </w:p>
        </w:tc>
        <w:tc>
          <w:tcPr>
            <w:tcW w:w="1559" w:type="dxa"/>
            <w:tcBorders>
              <w:top w:val="single" w:color="auto" w:sz="4" w:space="0"/>
              <w:left w:val="single" w:color="auto" w:sz="4" w:space="0"/>
              <w:bottom w:val="single" w:color="auto" w:sz="4" w:space="0"/>
              <w:right w:val="dotted" w:color="auto" w:sz="4" w:space="0"/>
            </w:tcBorders>
            <w:noWrap w:val="0"/>
            <w:vAlign w:val="top"/>
          </w:tcPr>
          <w:p>
            <w:pPr>
              <w:spacing w:line="360" w:lineRule="auto"/>
              <w:rPr>
                <w:rFonts w:ascii="仿宋_GB2312" w:hAnsi="仿宋" w:eastAsia="仿宋_GB2312" w:cs="Arial"/>
                <w:b/>
                <w:bCs/>
                <w:color w:val="000000"/>
                <w:kern w:val="0"/>
                <w:sz w:val="24"/>
              </w:rPr>
            </w:pPr>
            <w:r>
              <w:rPr>
                <w:rFonts w:hint="eastAsia" w:ascii="仿宋_GB2312" w:hAnsi="仿宋" w:eastAsia="仿宋_GB2312" w:cs="Arial"/>
                <w:b/>
                <w:bCs/>
                <w:color w:val="000000"/>
                <w:kern w:val="0"/>
                <w:sz w:val="24"/>
              </w:rPr>
              <w:t>提供人签名</w:t>
            </w:r>
          </w:p>
        </w:tc>
        <w:tc>
          <w:tcPr>
            <w:tcW w:w="1187"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仿宋" w:eastAsia="仿宋_GB2312" w:cs="Arial"/>
                <w:b/>
                <w:bCs/>
                <w:color w:val="000000"/>
                <w:kern w:val="0"/>
                <w:sz w:val="24"/>
              </w:rPr>
              <w:t>提供日期</w:t>
            </w:r>
          </w:p>
        </w:tc>
        <w:tc>
          <w:tcPr>
            <w:tcW w:w="8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1</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声明书</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2</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评估机构资质证书及法律文书。包括但不限于</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2-1</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评估机构章程或合伙协议</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2-2</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评估机构变更、或合并、或设立分所等的批准文件及相关材料</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2-3</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评估机构营业执照</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2-4</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评估机构执业证书</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2-5</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评估机构其他兼营资质证书</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2-6</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评估机构住所（或办公场所）产权证书或使用权证书（或租赁协议）</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3</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评估机构近3年的合伙人会议和管理委员会或股东会和董事会等治理层组成及会议决议、会议纪要、会议记录</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4</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评估机构业务收费标准</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5</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评估机构近3年股东或合伙人、关键管理人员变更情况说明及相关证明文件，关键管理人员包括：法定代表人、负责人</w:t>
            </w:r>
            <w:r>
              <w:rPr>
                <w:rFonts w:hint="eastAsia" w:ascii="仿宋_GB2312" w:hAnsi="宋体" w:eastAsia="仿宋_GB2312"/>
                <w:sz w:val="24"/>
              </w:rPr>
              <w:t>、合伙人</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6</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评估机构人力资源管理制度或人事手册</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7</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color w:val="000000"/>
                <w:sz w:val="24"/>
              </w:rPr>
              <w:t>评估机构</w:t>
            </w:r>
            <w:r>
              <w:rPr>
                <w:rFonts w:hint="eastAsia" w:ascii="仿宋_GB2312" w:hAnsi="宋体" w:eastAsia="仿宋_GB2312"/>
                <w:sz w:val="24"/>
              </w:rPr>
              <w:t>业务培训情况明细表（2018年1月1日-2019年5月31日）</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8</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评估机构对员工的业绩评价考评指标及评估机构2018年度的全体人员年度考核计划、考核情况表以及年度考核评价结果</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9</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color w:val="000000"/>
                <w:sz w:val="24"/>
              </w:rPr>
              <w:t>评估机构</w:t>
            </w:r>
            <w:r>
              <w:rPr>
                <w:rFonts w:hint="eastAsia" w:ascii="仿宋_GB2312" w:hAnsi="宋体" w:eastAsia="仿宋_GB2312"/>
                <w:sz w:val="24"/>
              </w:rPr>
              <w:t>2018年1月1日-2019年5月31日从业人员晋升情况明细表</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10</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评估机构质量控制制度（包括与质量控制6方面内容及相关的各项制度以及评估机构内部管理方面的所有制度）</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11</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业务咨询制度</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12</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重大分歧处理制度</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13</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质量控制复核制度</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14</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业务档案管理制度</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15</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评估机构公章或印章管理制度</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16</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sz w:val="24"/>
              </w:rPr>
              <w:t>职业道德（包括独立性）制度或职业道德守则</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17</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评估机构业务报告发文登记簿</w:t>
            </w:r>
            <w:r>
              <w:rPr>
                <w:rFonts w:hint="eastAsia" w:ascii="仿宋_GB2312" w:hAnsi="宋体" w:eastAsia="仿宋_GB2312"/>
                <w:sz w:val="24"/>
              </w:rPr>
              <w:t>（2018年1月1日-检查组进点日）</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18</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评估机构业务档案登记簿及工作底稿借阅登记簿（2018年1月1日-检查组进点日）</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19</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2018年1月1日-2019年5月31日，</w:t>
            </w:r>
            <w:r>
              <w:rPr>
                <w:rFonts w:hint="eastAsia" w:ascii="仿宋_GB2312" w:hAnsi="宋体" w:eastAsia="仿宋_GB2312"/>
                <w:color w:val="000000"/>
                <w:sz w:val="24"/>
              </w:rPr>
              <w:t>评估机构</w:t>
            </w:r>
            <w:r>
              <w:rPr>
                <w:rFonts w:hint="eastAsia" w:ascii="仿宋_GB2312" w:hAnsi="宋体" w:eastAsia="仿宋_GB2312"/>
                <w:sz w:val="24"/>
              </w:rPr>
              <w:t>内部执业质量检查自查报告、质量控制部门或风险控制部门的质量监控记录及检查结果处理报告</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20</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财政部门检查的相关资料以及评估机构的整改报告等（</w:t>
            </w:r>
            <w:r>
              <w:rPr>
                <w:rFonts w:hint="eastAsia" w:ascii="仿宋_GB2312" w:hAnsi="宋体" w:eastAsia="仿宋_GB2312"/>
                <w:sz w:val="24"/>
              </w:rPr>
              <w:t>2018年1月1日-检</w:t>
            </w:r>
            <w:r>
              <w:rPr>
                <w:rFonts w:hint="eastAsia" w:ascii="仿宋_GB2312" w:hAnsi="宋体" w:eastAsia="仿宋_GB2312"/>
                <w:color w:val="000000"/>
                <w:sz w:val="24"/>
              </w:rPr>
              <w:t>查组进点日）</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21</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评估机构在强化质量管控、防范系统风险方面的情况说明（包括成功做法、经验体会以及疑难困惑等）</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22</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color w:val="000000"/>
                <w:sz w:val="24"/>
              </w:rPr>
              <w:t>检查组情况反馈</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23</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2019年6月财务报表</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000000"/>
                <w:sz w:val="24"/>
              </w:rPr>
            </w:pPr>
            <w:r>
              <w:rPr>
                <w:rFonts w:hint="eastAsia" w:ascii="仿宋_GB2312" w:hAnsi="宋体" w:eastAsia="仿宋_GB2312"/>
                <w:color w:val="000000"/>
                <w:sz w:val="24"/>
              </w:rPr>
              <w:t>24</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r>
              <w:rPr>
                <w:rFonts w:hint="eastAsia" w:ascii="仿宋_GB2312" w:hAnsi="宋体" w:eastAsia="仿宋_GB2312"/>
                <w:sz w:val="24"/>
              </w:rPr>
              <w:t>2018年1月1日-2019年5月31日开具发票清单（税控系统打印）</w:t>
            </w:r>
          </w:p>
        </w:tc>
        <w:tc>
          <w:tcPr>
            <w:tcW w:w="1559" w:type="dxa"/>
            <w:tcBorders>
              <w:top w:val="single" w:color="auto" w:sz="4" w:space="0"/>
              <w:left w:val="single" w:color="auto" w:sz="4" w:space="0"/>
              <w:bottom w:val="single" w:color="auto" w:sz="4" w:space="0"/>
              <w:right w:val="dotted" w:color="auto" w:sz="4" w:space="0"/>
            </w:tcBorders>
            <w:noWrap w:val="0"/>
            <w:vAlign w:val="center"/>
          </w:tcPr>
          <w:p>
            <w:pPr>
              <w:spacing w:line="360" w:lineRule="auto"/>
              <w:rPr>
                <w:rFonts w:ascii="仿宋_GB2312" w:hAnsi="仿宋" w:eastAsia="仿宋_GB2312" w:cs="Arial"/>
                <w:b/>
                <w:bCs/>
                <w:color w:val="000000"/>
                <w:kern w:val="0"/>
                <w:sz w:val="24"/>
              </w:rPr>
            </w:pPr>
          </w:p>
        </w:tc>
        <w:tc>
          <w:tcPr>
            <w:tcW w:w="1187" w:type="dxa"/>
            <w:tcBorders>
              <w:top w:val="single" w:color="auto" w:sz="4" w:space="0"/>
              <w:left w:val="dotted" w:color="auto" w:sz="4" w:space="0"/>
              <w:bottom w:val="single" w:color="auto" w:sz="4" w:space="0"/>
              <w:right w:val="single" w:color="auto" w:sz="4" w:space="0"/>
            </w:tcBorders>
            <w:noWrap w:val="0"/>
            <w:vAlign w:val="center"/>
          </w:tcPr>
          <w:p>
            <w:pPr>
              <w:rPr>
                <w:rFonts w:ascii="仿宋_GB2312" w:hAnsi="仿宋" w:eastAsia="仿宋_GB2312" w:cs="Arial"/>
                <w:bCs/>
                <w:color w:val="000000"/>
                <w:kern w:val="0"/>
                <w:sz w:val="24"/>
              </w:rPr>
            </w:pPr>
          </w:p>
        </w:tc>
        <w:tc>
          <w:tcPr>
            <w:tcW w:w="849" w:type="dxa"/>
            <w:tcBorders>
              <w:top w:val="single" w:color="auto" w:sz="4" w:space="0"/>
              <w:left w:val="dotted" w:color="auto" w:sz="4" w:space="0"/>
              <w:bottom w:val="single" w:color="auto" w:sz="4" w:space="0"/>
              <w:right w:val="single" w:color="auto" w:sz="4" w:space="0"/>
            </w:tcBorders>
            <w:noWrap w:val="0"/>
            <w:vAlign w:val="center"/>
          </w:tcPr>
          <w:p>
            <w:pPr>
              <w:adjustRightInd w:val="0"/>
              <w:snapToGrid w:val="0"/>
              <w:rPr>
                <w:rFonts w:ascii="仿宋_GB2312" w:hAnsi="宋体" w:eastAsia="仿宋_GB2312"/>
                <w:color w:val="000000"/>
                <w:sz w:val="24"/>
              </w:rPr>
            </w:pPr>
          </w:p>
        </w:tc>
      </w:tr>
    </w:tbl>
    <w:p>
      <w:pPr>
        <w:pStyle w:val="5"/>
        <w:spacing w:before="312" w:beforeLines="100"/>
        <w:ind w:firstLine="0" w:firstLineChars="0"/>
        <w:rPr>
          <w:rFonts w:hint="eastAsia" w:ascii="仿宋_GB2312" w:hAnsi="仿宋" w:eastAsia="仿宋_GB2312"/>
          <w:sz w:val="24"/>
          <w:szCs w:val="24"/>
        </w:rPr>
      </w:pPr>
      <w:r>
        <w:rPr>
          <w:rFonts w:hint="eastAsia" w:ascii="仿宋_GB2312" w:hAnsi="仿宋" w:eastAsia="仿宋_GB2312"/>
          <w:sz w:val="24"/>
          <w:szCs w:val="24"/>
        </w:rPr>
        <w:t>注1：如无该项资料，请在“备注”栏填列“无”；</w:t>
      </w:r>
    </w:p>
    <w:p>
      <w:pPr>
        <w:spacing w:line="360" w:lineRule="auto"/>
        <w:rPr>
          <w:rFonts w:hint="eastAsia" w:ascii="仿宋_GB2312" w:hAnsi="宋体" w:eastAsia="仿宋_GB2312"/>
          <w:sz w:val="30"/>
          <w:szCs w:val="30"/>
        </w:rPr>
      </w:pPr>
    </w:p>
    <w:p>
      <w:pPr>
        <w:spacing w:line="360" w:lineRule="auto"/>
        <w:rPr>
          <w:rFonts w:hint="eastAsia" w:ascii="仿宋_GB2312" w:hAnsi="宋体" w:eastAsia="仿宋_GB2312"/>
          <w:sz w:val="30"/>
          <w:szCs w:val="30"/>
        </w:rPr>
      </w:pPr>
    </w:p>
    <w:p/>
    <w:p>
      <w:r>
        <w:drawing>
          <wp:anchor distT="0" distB="0" distL="114300" distR="114300" simplePos="0" relativeHeight="251660288" behindDoc="0" locked="0" layoutInCell="1" allowOverlap="1">
            <wp:simplePos x="0" y="0"/>
            <wp:positionH relativeFrom="column">
              <wp:posOffset>1684020</wp:posOffset>
            </wp:positionH>
            <wp:positionV relativeFrom="paragraph">
              <wp:posOffset>3078480</wp:posOffset>
            </wp:positionV>
            <wp:extent cx="1733550" cy="1724025"/>
            <wp:effectExtent l="0" t="0" r="0" b="9525"/>
            <wp:wrapNone/>
            <wp:docPr id="1" name="图片 2" descr="宁夏资产评估协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宁夏资产评估协会公章"/>
                    <pic:cNvPicPr>
                      <a:picLocks noChangeAspect="1"/>
                    </pic:cNvPicPr>
                  </pic:nvPicPr>
                  <pic:blipFill>
                    <a:blip r:embed="rId4"/>
                    <a:stretch>
                      <a:fillRect/>
                    </a:stretch>
                  </pic:blipFill>
                  <pic:spPr>
                    <a:xfrm>
                      <a:off x="0" y="0"/>
                      <a:ext cx="1733550" cy="1724025"/>
                    </a:xfrm>
                    <a:prstGeom prst="rect">
                      <a:avLst/>
                    </a:prstGeom>
                    <a:noFill/>
                    <a:ln>
                      <a:noFill/>
                    </a:ln>
                  </pic:spPr>
                </pic:pic>
              </a:graphicData>
            </a:graphic>
          </wp:anchor>
        </w:drawing>
      </w:r>
    </w:p>
    <w:p/>
    <w:p>
      <w:pPr>
        <w:spacing w:line="360" w:lineRule="auto"/>
        <w:rPr>
          <w:rFonts w:hint="eastAsia" w:ascii="仿宋_GB2312" w:hAnsi="宋体" w:eastAsia="仿宋_GB2312" w:cs="仿宋_GB2312"/>
          <w:kern w:val="22"/>
          <w:sz w:val="30"/>
          <w:szCs w:val="30"/>
        </w:rPr>
      </w:pPr>
    </w:p>
    <w:p>
      <w:pPr>
        <w:spacing w:line="360" w:lineRule="auto"/>
        <w:jc w:val="center"/>
        <w:rPr>
          <w:rFonts w:hint="eastAsia" w:ascii="宋体" w:hAnsi="宋体" w:cs="宋体"/>
          <w:b/>
          <w:bCs/>
          <w:kern w:val="22"/>
          <w:sz w:val="44"/>
          <w:szCs w:val="44"/>
        </w:rPr>
      </w:pP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声</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明</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书</w:t>
      </w:r>
    </w:p>
    <w:p>
      <w:pPr>
        <w:spacing w:line="360" w:lineRule="auto"/>
        <w:rPr>
          <w:rFonts w:hint="eastAsia" w:ascii="仿宋_GB2312" w:hAnsi="宋体" w:eastAsia="仿宋_GB2312"/>
          <w:sz w:val="30"/>
          <w:szCs w:val="30"/>
        </w:rPr>
      </w:pPr>
    </w:p>
    <w:p>
      <w:pPr>
        <w:spacing w:line="360" w:lineRule="auto"/>
        <w:rPr>
          <w:rFonts w:hint="eastAsia" w:ascii="仿宋_GB2312" w:hAnsi="宋体" w:eastAsia="仿宋_GB2312"/>
          <w:sz w:val="32"/>
          <w:szCs w:val="32"/>
        </w:rPr>
      </w:pPr>
      <w:r>
        <w:rPr>
          <w:rFonts w:hint="eastAsia" w:ascii="仿宋_GB2312" w:hAnsi="宋体" w:eastAsia="仿宋_GB2312"/>
          <w:sz w:val="32"/>
          <w:szCs w:val="32"/>
        </w:rPr>
        <w:t>宁夏</w:t>
      </w:r>
      <w:r>
        <w:rPr>
          <w:rFonts w:hint="eastAsia" w:ascii="仿宋_GB2312" w:hAnsi="宋体" w:eastAsia="仿宋_GB2312"/>
          <w:sz w:val="32"/>
          <w:szCs w:val="32"/>
          <w:lang w:eastAsia="zh-CN"/>
        </w:rPr>
        <w:t>资产评估</w:t>
      </w:r>
      <w:r>
        <w:rPr>
          <w:rFonts w:hint="eastAsia" w:ascii="仿宋_GB2312" w:hAnsi="宋体" w:eastAsia="仿宋_GB2312"/>
          <w:sz w:val="32"/>
          <w:szCs w:val="32"/>
        </w:rPr>
        <w:t>协会：</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根据《中华人民共和国资产评估法》《资产评估行业财政监督管理办法》（财政部令第86号）《中国资产评估协会章程》和《资产评估执业质量自律检查办法》，以及</w:t>
      </w:r>
      <w:r>
        <w:rPr>
          <w:rFonts w:hint="eastAsia" w:ascii="仿宋_GB2312" w:hAnsi="宋体" w:eastAsia="仿宋_GB2312"/>
          <w:sz w:val="32"/>
          <w:szCs w:val="32"/>
          <w:lang w:eastAsia="zh-CN"/>
        </w:rPr>
        <w:t>宁夏</w:t>
      </w:r>
      <w:r>
        <w:rPr>
          <w:rFonts w:hint="eastAsia" w:ascii="仿宋_GB2312" w:hAnsi="宋体" w:eastAsia="仿宋_GB2312"/>
          <w:sz w:val="32"/>
          <w:szCs w:val="32"/>
        </w:rPr>
        <w:t>资产评估协会《201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年资产评估行业执业质量自律检查工作方案》要求，我们已向检查组提供了检查工作所需的全部检查资料，包括</w:t>
      </w:r>
      <w:r>
        <w:rPr>
          <w:rFonts w:hint="eastAsia" w:ascii="仿宋_GB2312" w:hAnsi="宋体" w:eastAsia="仿宋_GB2312"/>
          <w:sz w:val="32"/>
          <w:szCs w:val="32"/>
          <w:lang w:eastAsia="zh-CN"/>
        </w:rPr>
        <w:t>资产评估机构</w:t>
      </w:r>
      <w:r>
        <w:rPr>
          <w:rFonts w:hint="eastAsia" w:ascii="仿宋_GB2312" w:hAnsi="宋体" w:eastAsia="仿宋_GB2312"/>
          <w:sz w:val="32"/>
          <w:szCs w:val="32"/>
        </w:rPr>
        <w:t>的内部管理制度、职业道德规范、质量控制制度、</w:t>
      </w:r>
      <w:r>
        <w:rPr>
          <w:rFonts w:hint="eastAsia" w:ascii="仿宋_GB2312" w:hAnsi="宋体" w:eastAsia="仿宋_GB2312"/>
          <w:sz w:val="32"/>
          <w:szCs w:val="32"/>
          <w:shd w:val="clear"/>
          <w:lang w:eastAsia="zh-CN"/>
        </w:rPr>
        <w:t>评估</w:t>
      </w:r>
      <w:r>
        <w:rPr>
          <w:rFonts w:hint="eastAsia" w:ascii="仿宋_GB2312" w:hAnsi="宋体" w:eastAsia="仿宋_GB2312"/>
          <w:sz w:val="32"/>
          <w:szCs w:val="32"/>
          <w:shd w:val="clear"/>
        </w:rPr>
        <w:t>操作规程及其</w:t>
      </w:r>
      <w:r>
        <w:rPr>
          <w:rFonts w:hint="eastAsia" w:ascii="仿宋_GB2312" w:hAnsi="宋体" w:eastAsia="仿宋_GB2312"/>
          <w:sz w:val="32"/>
          <w:szCs w:val="32"/>
        </w:rPr>
        <w:t>他业务规程、抽查的业务报告，以及与</w:t>
      </w:r>
      <w:r>
        <w:rPr>
          <w:rFonts w:hint="eastAsia" w:ascii="仿宋_GB2312" w:hAnsi="宋体" w:eastAsia="仿宋_GB2312"/>
          <w:sz w:val="32"/>
          <w:szCs w:val="32"/>
          <w:lang w:eastAsia="zh-CN"/>
        </w:rPr>
        <w:t>资产评估机构</w:t>
      </w:r>
      <w:r>
        <w:rPr>
          <w:rFonts w:hint="eastAsia" w:ascii="仿宋_GB2312" w:hAnsi="宋体" w:eastAsia="仿宋_GB2312"/>
          <w:sz w:val="32"/>
          <w:szCs w:val="32"/>
        </w:rPr>
        <w:t>的内部治理、文化、领导理念等等有关的资料和信息。我们对上述资料和信息的真实性与完整性负责。</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我们已知悉宁夏</w:t>
      </w:r>
      <w:r>
        <w:rPr>
          <w:rFonts w:hint="eastAsia" w:ascii="仿宋_GB2312" w:hAnsi="宋体" w:eastAsia="仿宋_GB2312"/>
          <w:sz w:val="32"/>
          <w:szCs w:val="32"/>
          <w:lang w:eastAsia="zh-CN"/>
        </w:rPr>
        <w:t>资产评估表</w:t>
      </w:r>
      <w:r>
        <w:rPr>
          <w:rFonts w:hint="eastAsia" w:ascii="仿宋_GB2312" w:hAnsi="宋体" w:eastAsia="仿宋_GB2312"/>
          <w:sz w:val="32"/>
          <w:szCs w:val="32"/>
        </w:rPr>
        <w:t>协会执业质量检查“十不准”等廉政规定的规定，并将切实遵守廉政规定的各项要求，尊重检查组廉洁自律的意愿和行动。</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特此声明。</w:t>
      </w:r>
    </w:p>
    <w:p>
      <w:pPr>
        <w:spacing w:line="360" w:lineRule="auto"/>
        <w:ind w:firstLine="640" w:firstLineChars="200"/>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p>
    <w:p>
      <w:pPr>
        <w:wordWrap w:val="0"/>
        <w:spacing w:line="360" w:lineRule="auto"/>
        <w:jc w:val="right"/>
        <w:rPr>
          <w:rFonts w:hint="eastAsia" w:ascii="仿宋_GB2312" w:hAnsi="宋体" w:eastAsia="仿宋_GB2312"/>
          <w:sz w:val="32"/>
          <w:szCs w:val="32"/>
        </w:rPr>
      </w:pPr>
      <w:r>
        <w:rPr>
          <w:rFonts w:hint="eastAsia" w:ascii="仿宋_GB2312" w:hAnsi="宋体" w:eastAsia="仿宋_GB2312"/>
          <w:sz w:val="32"/>
          <w:szCs w:val="32"/>
          <w:shd w:val="clear"/>
          <w:lang w:eastAsia="zh-CN"/>
        </w:rPr>
        <w:t>法定代表人</w:t>
      </w:r>
      <w:r>
        <w:rPr>
          <w:rFonts w:hint="eastAsia" w:ascii="仿宋_GB2312" w:hAnsi="宋体" w:eastAsia="仿宋_GB2312"/>
          <w:sz w:val="32"/>
          <w:szCs w:val="32"/>
          <w:shd w:val="clear"/>
        </w:rPr>
        <w:t>/执行（首席）合伙人（</w:t>
      </w:r>
      <w:r>
        <w:rPr>
          <w:rFonts w:hint="eastAsia" w:ascii="仿宋_GB2312" w:hAnsi="宋体" w:eastAsia="仿宋_GB2312"/>
          <w:sz w:val="32"/>
          <w:szCs w:val="32"/>
        </w:rPr>
        <w:t>签字）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 xml:space="preserve">        </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资产评估机构</w:t>
      </w:r>
      <w:r>
        <w:rPr>
          <w:rFonts w:hint="eastAsia" w:ascii="仿宋_GB2312" w:hAnsi="宋体" w:eastAsia="仿宋_GB2312"/>
          <w:sz w:val="32"/>
          <w:szCs w:val="32"/>
        </w:rPr>
        <w:t>（公章）</w:t>
      </w:r>
    </w:p>
    <w:p>
      <w:pPr>
        <w:spacing w:line="360" w:lineRule="auto"/>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年    月    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A5087"/>
    <w:rsid w:val="023E07D7"/>
    <w:rsid w:val="106A5087"/>
    <w:rsid w:val="2DD82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customStyle="1" w:styleId="5">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2019-07-10T07:46:00Z</dcterms:created>
  <dc:creator>505</dc:creator>
  <cp:lastModifiedBy>505</cp:lastModifiedBy>
  <dcterms:modified xsi:type="dcterms:W3CDTF">2019-07-12T08:59:08Z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